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67C" w14:textId="35F95C9D" w:rsidR="0072105D" w:rsidRPr="0072105D" w:rsidRDefault="0072105D" w:rsidP="0072105D">
      <w:pPr>
        <w:pStyle w:val="Heading1"/>
        <w:jc w:val="center"/>
        <w:rPr>
          <w:rFonts w:ascii="Trebuchet MS" w:hAnsi="Trebuchet MS"/>
          <w:b/>
          <w:i/>
          <w:iCs/>
          <w:sz w:val="32"/>
          <w:u w:val="single"/>
        </w:rPr>
      </w:pPr>
      <w:bookmarkStart w:id="0" w:name="_Hlk16085210"/>
      <w:bookmarkStart w:id="1" w:name="_Hlk16085211"/>
      <w:bookmarkStart w:id="2" w:name="_Hlk16085212"/>
      <w:bookmarkStart w:id="3" w:name="_Hlk16085213"/>
      <w:bookmarkStart w:id="4" w:name="_Hlk16085214"/>
      <w:bookmarkStart w:id="5" w:name="_Hlk16085215"/>
      <w:bookmarkStart w:id="6" w:name="_Hlk16085216"/>
      <w:bookmarkStart w:id="7" w:name="_Hlk16085217"/>
      <w:bookmarkStart w:id="8" w:name="_Hlk16085218"/>
      <w:bookmarkStart w:id="9" w:name="_Hlk16085219"/>
      <w:r w:rsidRPr="0072105D">
        <w:rPr>
          <w:rFonts w:ascii="Trebuchet MS" w:hAnsi="Trebuchet MS"/>
          <w:b/>
          <w:i/>
          <w:iCs/>
          <w:sz w:val="32"/>
          <w:u w:val="single"/>
        </w:rPr>
        <w:t>Fighting for a Lead</w:t>
      </w:r>
      <w:r w:rsidR="00797701">
        <w:rPr>
          <w:rFonts w:ascii="Trebuchet MS" w:hAnsi="Trebuchet MS"/>
          <w:b/>
          <w:i/>
          <w:iCs/>
          <w:sz w:val="32"/>
          <w:u w:val="single"/>
        </w:rPr>
        <w:t>SafeD</w:t>
      </w:r>
      <w:r w:rsidRPr="0072105D">
        <w:rPr>
          <w:rFonts w:ascii="Trebuchet MS" w:hAnsi="Trebuchet MS"/>
          <w:b/>
          <w:i/>
          <w:iCs/>
          <w:sz w:val="32"/>
          <w:u w:val="single"/>
        </w:rPr>
        <w:t>C</w:t>
      </w:r>
    </w:p>
    <w:p w14:paraId="1B9A658B" w14:textId="2C14FCFF" w:rsidR="00D8481B" w:rsidRDefault="0072105D" w:rsidP="00D8481B">
      <w:pPr>
        <w:pStyle w:val="Heading1"/>
        <w:spacing w:after="0"/>
        <w:jc w:val="center"/>
        <w:rPr>
          <w:rFonts w:ascii="Trebuchet MS" w:hAnsi="Trebuchet MS"/>
          <w:bCs w:val="0"/>
        </w:rPr>
      </w:pPr>
      <w:r>
        <w:rPr>
          <w:rFonts w:ascii="Trebuchet MS" w:hAnsi="Trebuchet MS"/>
          <w:bCs w:val="0"/>
        </w:rPr>
        <w:t>T</w:t>
      </w:r>
      <w:r w:rsidRPr="0072105D">
        <w:rPr>
          <w:rFonts w:ascii="Trebuchet MS" w:hAnsi="Trebuchet MS"/>
          <w:bCs w:val="0"/>
        </w:rPr>
        <w:t xml:space="preserve">he </w:t>
      </w:r>
      <w:r w:rsidRPr="0046134F">
        <w:rPr>
          <w:rFonts w:ascii="Trebuchet MS" w:hAnsi="Trebuchet MS"/>
          <w:bCs w:val="0"/>
          <w:i/>
          <w:iCs/>
        </w:rPr>
        <w:t>Lead Hazard Prevention and Elimination Amendment Act of 2019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85B5356" w14:textId="1F5BB0CD" w:rsidR="00D8481B" w:rsidRPr="0046134F" w:rsidRDefault="0072105D" w:rsidP="0072105D">
      <w:pPr>
        <w:pStyle w:val="Heading1"/>
        <w:jc w:val="center"/>
        <w:rPr>
          <w:b/>
          <w:iCs/>
          <w:szCs w:val="28"/>
        </w:rPr>
      </w:pPr>
      <w:r w:rsidRPr="0046134F">
        <w:rPr>
          <w:b/>
          <w:iCs/>
          <w:szCs w:val="28"/>
        </w:rPr>
        <w:t>How Will the Proposed New Law Strengthen DC’s Current Lead Laws?</w:t>
      </w:r>
    </w:p>
    <w:p w14:paraId="07402888" w14:textId="77777777" w:rsidR="0083274C" w:rsidRPr="006E5DD4" w:rsidRDefault="0083274C" w:rsidP="00DB4782">
      <w:pPr>
        <w:spacing w:after="0" w:line="240" w:lineRule="auto"/>
        <w:rPr>
          <w:smallCaps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6E4A37" w14:paraId="169BE5B0" w14:textId="77777777" w:rsidTr="00F91A6B">
        <w:tc>
          <w:tcPr>
            <w:tcW w:w="50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</w:tcPr>
          <w:p w14:paraId="7AC970CA" w14:textId="46E3F503" w:rsidR="006E4A37" w:rsidRPr="00D8481B" w:rsidRDefault="006E4A37" w:rsidP="006E4A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4472C4" w:themeColor="accent1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color w:val="4472C4" w:themeColor="accent1"/>
                <w:sz w:val="20"/>
                <w:szCs w:val="20"/>
              </w:rPr>
              <w:t>Current Law</w:t>
            </w:r>
          </w:p>
        </w:tc>
        <w:tc>
          <w:tcPr>
            <w:tcW w:w="55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</w:tcPr>
          <w:p w14:paraId="1CF8FA02" w14:textId="03074E59" w:rsidR="006E4A37" w:rsidRPr="00D8481B" w:rsidRDefault="00D8481B" w:rsidP="006E4A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4472C4" w:themeColor="accent1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color w:val="4472C4" w:themeColor="accent1"/>
                <w:sz w:val="20"/>
                <w:szCs w:val="20"/>
              </w:rPr>
              <w:t xml:space="preserve">Proposed New </w:t>
            </w:r>
            <w:r>
              <w:rPr>
                <w:rFonts w:ascii="Trebuchet MS" w:hAnsi="Trebuchet MS"/>
                <w:b/>
                <w:bCs/>
                <w:color w:val="4472C4" w:themeColor="accent1"/>
                <w:sz w:val="20"/>
                <w:szCs w:val="20"/>
              </w:rPr>
              <w:t>Protections</w:t>
            </w:r>
          </w:p>
        </w:tc>
      </w:tr>
      <w:tr w:rsidR="006E4A37" w14:paraId="0DCE6B6A" w14:textId="77777777" w:rsidTr="00F91A6B">
        <w:tc>
          <w:tcPr>
            <w:tcW w:w="50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EC21ED" w14:textId="570C26CF" w:rsidR="006E4A37" w:rsidRPr="00D8481B" w:rsidRDefault="0083274C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General Obligation</w:t>
            </w:r>
            <w:r w:rsidR="006E5DD4" w:rsidRPr="00D8481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E4A37" w:rsidRPr="00D8481B">
              <w:rPr>
                <w:rFonts w:ascii="Trebuchet MS" w:hAnsi="Trebuchet MS"/>
                <w:sz w:val="20"/>
                <w:szCs w:val="20"/>
              </w:rPr>
              <w:t>All dwelling units</w:t>
            </w:r>
            <w:r w:rsidR="006E1510" w:rsidRPr="00D8481B">
              <w:rPr>
                <w:rFonts w:ascii="Trebuchet MS" w:hAnsi="Trebuchet MS"/>
                <w:sz w:val="20"/>
                <w:szCs w:val="20"/>
              </w:rPr>
              <w:t>, common areas of multifamily properties and child-occupied facilities</w:t>
            </w:r>
            <w:r w:rsidR="006E4A37" w:rsidRPr="00D8481B">
              <w:rPr>
                <w:rFonts w:ascii="Trebuchet MS" w:hAnsi="Trebuchet MS"/>
                <w:sz w:val="20"/>
                <w:szCs w:val="20"/>
              </w:rPr>
              <w:t xml:space="preserve"> buil</w:t>
            </w:r>
            <w:r w:rsidR="006E1510" w:rsidRPr="00D8481B">
              <w:rPr>
                <w:rFonts w:ascii="Trebuchet MS" w:hAnsi="Trebuchet MS"/>
                <w:sz w:val="20"/>
                <w:szCs w:val="20"/>
              </w:rPr>
              <w:t>t</w:t>
            </w:r>
            <w:r w:rsidR="006E4A37" w:rsidRPr="00D8481B">
              <w:rPr>
                <w:rFonts w:ascii="Trebuchet MS" w:hAnsi="Trebuchet MS"/>
                <w:sz w:val="20"/>
                <w:szCs w:val="20"/>
              </w:rPr>
              <w:t xml:space="preserve"> before 1978 must be maintained free of lead-based paint hazards. </w:t>
            </w:r>
          </w:p>
          <w:p w14:paraId="75C744EF" w14:textId="5BF992AE" w:rsidR="00C05C40" w:rsidRPr="00D8481B" w:rsidRDefault="00C05C40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sz w:val="20"/>
                <w:szCs w:val="20"/>
              </w:rPr>
              <w:t>Creates technical standards for assessing lead hazards.</w:t>
            </w:r>
          </w:p>
        </w:tc>
        <w:tc>
          <w:tcPr>
            <w:tcW w:w="55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8AC8745" w14:textId="1BF4EB3C" w:rsidR="00065AF8" w:rsidRPr="00D8481B" w:rsidRDefault="00065AF8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bookmarkStart w:id="10" w:name="_GoBack"/>
            <w:bookmarkEnd w:id="10"/>
            <w:r w:rsidRPr="00D8481B">
              <w:rPr>
                <w:rFonts w:ascii="Trebuchet MS" w:hAnsi="Trebuchet MS"/>
                <w:sz w:val="20"/>
                <w:szCs w:val="20"/>
              </w:rPr>
              <w:t>Updates technical standards and requires clearance examinations to more effectively test for lead dust.</w:t>
            </w:r>
          </w:p>
        </w:tc>
      </w:tr>
      <w:tr w:rsidR="006E4A37" w14:paraId="137EB194" w14:textId="77777777" w:rsidTr="00F91A6B">
        <w:tc>
          <w:tcPr>
            <w:tcW w:w="50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84B1C2E" w14:textId="38B1772F" w:rsidR="006E4A37" w:rsidRPr="00D8481B" w:rsidRDefault="0083274C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Disclosures </w:t>
            </w:r>
            <w:r w:rsidR="00055574"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t</w:t>
            </w:r>
            <w:r w:rsidR="00BD42D6"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o</w:t>
            </w:r>
            <w:r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New Tenants</w:t>
            </w:r>
            <w:r w:rsidR="006E5DD4" w:rsidRPr="00D8481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.</w:t>
            </w:r>
            <w:r w:rsidRPr="00D8481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Landlords must </w:t>
            </w:r>
            <w:r w:rsidR="001B0C66" w:rsidRPr="00D8481B">
              <w:rPr>
                <w:rFonts w:ascii="Trebuchet MS" w:hAnsi="Trebuchet MS"/>
                <w:sz w:val="20"/>
                <w:szCs w:val="20"/>
              </w:rPr>
              <w:t xml:space="preserve">disclose </w:t>
            </w:r>
            <w:r w:rsidRPr="00D8481B">
              <w:rPr>
                <w:rFonts w:ascii="Trebuchet MS" w:hAnsi="Trebuchet MS"/>
                <w:sz w:val="20"/>
                <w:szCs w:val="20"/>
              </w:rPr>
              <w:t>information</w:t>
            </w:r>
            <w:r w:rsidR="00F6557C"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B0C66" w:rsidRPr="00D8481B">
              <w:rPr>
                <w:rFonts w:ascii="Trebuchet MS" w:hAnsi="Trebuchet MS"/>
                <w:sz w:val="20"/>
                <w:szCs w:val="20"/>
              </w:rPr>
              <w:t>a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bout the presence of 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>any</w:t>
            </w:r>
            <w:r w:rsidR="00057DD6" w:rsidRPr="00D8481B">
              <w:rPr>
                <w:rFonts w:ascii="Trebuchet MS" w:hAnsi="Trebuchet MS"/>
                <w:sz w:val="20"/>
                <w:szCs w:val="20"/>
              </w:rPr>
              <w:t xml:space="preserve"> known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8481B">
              <w:rPr>
                <w:rFonts w:ascii="Trebuchet MS" w:hAnsi="Trebuchet MS"/>
                <w:sz w:val="20"/>
                <w:szCs w:val="20"/>
              </w:rPr>
              <w:t>lead-based paint hazards</w:t>
            </w:r>
            <w:r w:rsidR="001B0C66" w:rsidRPr="00D8481B">
              <w:rPr>
                <w:rFonts w:ascii="Trebuchet MS" w:hAnsi="Trebuchet MS"/>
                <w:sz w:val="20"/>
                <w:szCs w:val="20"/>
              </w:rPr>
              <w:t xml:space="preserve"> on the property</w:t>
            </w:r>
            <w:r w:rsidRPr="00D8481B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2FB7309" w14:textId="14A1C578" w:rsidR="0083274C" w:rsidRPr="00D8481B" w:rsidRDefault="0093725F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bookmarkStart w:id="11" w:name="_Hlk16678089"/>
            <w:r w:rsidRPr="00D8481B">
              <w:rPr>
                <w:rFonts w:ascii="Trebuchet MS" w:hAnsi="Trebuchet MS"/>
                <w:sz w:val="20"/>
                <w:szCs w:val="20"/>
              </w:rPr>
              <w:t xml:space="preserve">If </w:t>
            </w:r>
            <w:r w:rsidR="00CF65B4" w:rsidRPr="00D8481B">
              <w:rPr>
                <w:rFonts w:ascii="Trebuchet MS" w:hAnsi="Trebuchet MS"/>
                <w:sz w:val="20"/>
                <w:szCs w:val="20"/>
              </w:rPr>
              <w:t>a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B0C66" w:rsidRPr="00D8481B">
              <w:rPr>
                <w:rFonts w:ascii="Trebuchet MS" w:hAnsi="Trebuchet MS"/>
                <w:sz w:val="20"/>
                <w:szCs w:val="20"/>
              </w:rPr>
              <w:t>new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 tenant </w:t>
            </w:r>
            <w:r w:rsidR="00D8481B">
              <w:rPr>
                <w:rFonts w:ascii="Trebuchet MS" w:hAnsi="Trebuchet MS"/>
                <w:sz w:val="20"/>
                <w:szCs w:val="20"/>
              </w:rPr>
              <w:t xml:space="preserve">(or regular visitor) </w:t>
            </w:r>
            <w:r w:rsidR="001B0C66" w:rsidRPr="00D8481B">
              <w:rPr>
                <w:rFonts w:ascii="Trebuchet MS" w:hAnsi="Trebuchet MS"/>
                <w:sz w:val="20"/>
                <w:szCs w:val="20"/>
              </w:rPr>
              <w:t>is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 a pregnant woman or </w:t>
            </w:r>
            <w:r w:rsidR="001B0C66" w:rsidRPr="00D8481B">
              <w:rPr>
                <w:rFonts w:ascii="Trebuchet MS" w:hAnsi="Trebuchet MS"/>
                <w:sz w:val="20"/>
                <w:szCs w:val="20"/>
              </w:rPr>
              <w:t xml:space="preserve">has 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a child under 6, </w:t>
            </w:r>
            <w:r w:rsidR="001D173E" w:rsidRPr="00D8481B">
              <w:rPr>
                <w:rFonts w:ascii="Trebuchet MS" w:hAnsi="Trebuchet MS"/>
                <w:sz w:val="20"/>
                <w:szCs w:val="20"/>
              </w:rPr>
              <w:t xml:space="preserve">or if an existing tenant notifies the landlord that a pregnant woman or child under 6 has moved into the unit, 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the landlord must provide a clearance report issued within </w:t>
            </w:r>
            <w:r w:rsidR="00057DD6" w:rsidRPr="00D8481B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previous 12 months </w:t>
            </w:r>
            <w:r w:rsidR="001D173E" w:rsidRPr="00D8481B">
              <w:rPr>
                <w:rFonts w:ascii="Trebuchet MS" w:hAnsi="Trebuchet MS"/>
                <w:sz w:val="20"/>
                <w:szCs w:val="20"/>
              </w:rPr>
              <w:t xml:space="preserve">or other documentation 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showing the absence of </w:t>
            </w:r>
            <w:r w:rsidR="005561CA" w:rsidRPr="00D8481B">
              <w:rPr>
                <w:rFonts w:ascii="Trebuchet MS" w:hAnsi="Trebuchet MS"/>
                <w:sz w:val="20"/>
                <w:szCs w:val="20"/>
              </w:rPr>
              <w:t xml:space="preserve">lead-based </w:t>
            </w:r>
            <w:r w:rsidR="001D173E" w:rsidRPr="00D8481B">
              <w:rPr>
                <w:rFonts w:ascii="Trebuchet MS" w:hAnsi="Trebuchet MS"/>
                <w:sz w:val="20"/>
                <w:szCs w:val="20"/>
              </w:rPr>
              <w:t xml:space="preserve">paint </w:t>
            </w:r>
            <w:r w:rsidR="005561CA" w:rsidRPr="00D8481B">
              <w:rPr>
                <w:rFonts w:ascii="Trebuchet MS" w:hAnsi="Trebuchet MS"/>
                <w:sz w:val="20"/>
                <w:szCs w:val="20"/>
              </w:rPr>
              <w:t>hazards</w:t>
            </w:r>
            <w:r w:rsidRPr="00D8481B">
              <w:rPr>
                <w:rFonts w:ascii="Trebuchet MS" w:hAnsi="Trebuchet MS"/>
                <w:sz w:val="20"/>
                <w:szCs w:val="20"/>
              </w:rPr>
              <w:t>.</w:t>
            </w:r>
            <w:bookmarkEnd w:id="11"/>
          </w:p>
        </w:tc>
        <w:tc>
          <w:tcPr>
            <w:tcW w:w="55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E483E2" w14:textId="7F6A152D" w:rsidR="0093725F" w:rsidRDefault="004D2574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Requires t</w:t>
            </w:r>
            <w:r w:rsidR="00980A07" w:rsidRPr="00D8481B">
              <w:rPr>
                <w:rFonts w:ascii="Trebuchet MS" w:hAnsi="Trebuchet MS"/>
                <w:sz w:val="20"/>
                <w:szCs w:val="20"/>
              </w:rPr>
              <w:t>he l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andlord </w:t>
            </w:r>
            <w:r>
              <w:rPr>
                <w:rFonts w:ascii="Trebuchet MS" w:hAnsi="Trebuchet MS"/>
                <w:sz w:val="20"/>
                <w:szCs w:val="20"/>
              </w:rPr>
              <w:t>to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 provide </w:t>
            </w:r>
            <w:r w:rsidR="0093725F" w:rsidRPr="00D8481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all 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>prospective tenants (not just when</w:t>
            </w:r>
            <w:r w:rsidR="00980A07" w:rsidRPr="00D8481B">
              <w:rPr>
                <w:rFonts w:ascii="Trebuchet MS" w:hAnsi="Trebuchet MS"/>
                <w:sz w:val="20"/>
                <w:szCs w:val="20"/>
              </w:rPr>
              <w:t xml:space="preserve"> the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 tenant </w:t>
            </w:r>
            <w:r w:rsidR="00980A07" w:rsidRPr="00D8481B">
              <w:rPr>
                <w:rFonts w:ascii="Trebuchet MS" w:hAnsi="Trebuchet MS"/>
                <w:sz w:val="20"/>
                <w:szCs w:val="20"/>
              </w:rPr>
              <w:t>is a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 pregnant woman or </w:t>
            </w:r>
            <w:r w:rsidR="00980A07" w:rsidRPr="00D8481B">
              <w:rPr>
                <w:rFonts w:ascii="Trebuchet MS" w:hAnsi="Trebuchet MS"/>
                <w:sz w:val="20"/>
                <w:szCs w:val="20"/>
              </w:rPr>
              <w:t xml:space="preserve">has a 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child under 6) with </w:t>
            </w:r>
            <w:r w:rsidR="00980A07" w:rsidRPr="00D8481B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 xml:space="preserve">clearance report issued within </w:t>
            </w:r>
            <w:r w:rsidR="00980A07" w:rsidRPr="00D8481B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93725F" w:rsidRPr="00D8481B">
              <w:rPr>
                <w:rFonts w:ascii="Trebuchet MS" w:hAnsi="Trebuchet MS"/>
                <w:sz w:val="20"/>
                <w:szCs w:val="20"/>
              </w:rPr>
              <w:t>past 12 months</w:t>
            </w:r>
            <w:r w:rsidR="00BD42D6" w:rsidRPr="00D8481B">
              <w:rPr>
                <w:rFonts w:ascii="Trebuchet MS" w:hAnsi="Trebuchet MS"/>
                <w:sz w:val="20"/>
                <w:szCs w:val="20"/>
              </w:rPr>
              <w:t xml:space="preserve"> or certain other documentation</w:t>
            </w:r>
            <w:r w:rsidR="00F6557C"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561CA" w:rsidRPr="00D8481B">
              <w:rPr>
                <w:rFonts w:ascii="Trebuchet MS" w:hAnsi="Trebuchet MS"/>
                <w:sz w:val="20"/>
                <w:szCs w:val="20"/>
              </w:rPr>
              <w:t>show</w:t>
            </w:r>
            <w:r w:rsidR="00F6557C" w:rsidRPr="00D8481B">
              <w:rPr>
                <w:rFonts w:ascii="Trebuchet MS" w:hAnsi="Trebuchet MS"/>
                <w:sz w:val="20"/>
                <w:szCs w:val="20"/>
              </w:rPr>
              <w:t>ing</w:t>
            </w:r>
            <w:r w:rsidR="005561CA" w:rsidRPr="00D8481B">
              <w:rPr>
                <w:rFonts w:ascii="Trebuchet MS" w:hAnsi="Trebuchet MS"/>
                <w:sz w:val="20"/>
                <w:szCs w:val="20"/>
              </w:rPr>
              <w:t xml:space="preserve"> that </w:t>
            </w:r>
            <w:r w:rsidR="00057DD6" w:rsidRPr="00D8481B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5561CA" w:rsidRPr="00D8481B">
              <w:rPr>
                <w:rFonts w:ascii="Trebuchet MS" w:hAnsi="Trebuchet MS"/>
                <w:sz w:val="20"/>
                <w:szCs w:val="20"/>
              </w:rPr>
              <w:t>unit is lead-free or lead-safe</w:t>
            </w:r>
            <w:r w:rsidR="00F6557C" w:rsidRPr="00D8481B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378FC95" w14:textId="0D48941B" w:rsidR="00D8481B" w:rsidRPr="00D8481B" w:rsidRDefault="00D8481B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bookmarkStart w:id="12" w:name="_Hlk16681842"/>
            <w:r w:rsidRPr="00D8481B">
              <w:rPr>
                <w:rFonts w:ascii="Trebuchet MS" w:hAnsi="Trebuchet MS"/>
                <w:sz w:val="20"/>
                <w:szCs w:val="20"/>
              </w:rPr>
              <w:t>Tenants can break the lease without penalty within 10 days of receiving landlord disclosures after signing initial lease.</w:t>
            </w:r>
            <w:bookmarkEnd w:id="12"/>
          </w:p>
        </w:tc>
      </w:tr>
      <w:tr w:rsidR="006E4A37" w14:paraId="2EF586CF" w14:textId="77777777" w:rsidTr="00F91A6B">
        <w:tc>
          <w:tcPr>
            <w:tcW w:w="50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E6F3F3F" w14:textId="1396AD88" w:rsidR="006E4A37" w:rsidRPr="00D8481B" w:rsidRDefault="001D173E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Clearance Examinations</w:t>
            </w:r>
            <w:r w:rsidR="00B70FD5"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During the Lease Term</w:t>
            </w:r>
            <w:r w:rsidRPr="00D8481B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  <w:r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D42D6" w:rsidRPr="00D8481B">
              <w:rPr>
                <w:rFonts w:ascii="Trebuchet MS" w:hAnsi="Trebuchet MS"/>
                <w:sz w:val="20"/>
                <w:szCs w:val="20"/>
              </w:rPr>
              <w:t xml:space="preserve">Landlords </w:t>
            </w:r>
            <w:r w:rsidR="00BE2B20" w:rsidRPr="00D8481B">
              <w:rPr>
                <w:rFonts w:ascii="Trebuchet MS" w:hAnsi="Trebuchet MS"/>
                <w:sz w:val="20"/>
                <w:szCs w:val="20"/>
              </w:rPr>
              <w:t xml:space="preserve">are </w:t>
            </w:r>
            <w:r w:rsidR="00BD42D6" w:rsidRPr="00D8481B">
              <w:rPr>
                <w:rFonts w:ascii="Trebuchet MS" w:hAnsi="Trebuchet MS"/>
                <w:sz w:val="20"/>
                <w:szCs w:val="20"/>
              </w:rPr>
              <w:t xml:space="preserve">currently </w:t>
            </w:r>
            <w:r w:rsidR="00CF4E39" w:rsidRPr="00D8481B">
              <w:rPr>
                <w:rFonts w:ascii="Trebuchet MS" w:hAnsi="Trebuchet MS"/>
                <w:sz w:val="20"/>
                <w:szCs w:val="20"/>
              </w:rPr>
              <w:t>not required</w:t>
            </w:r>
            <w:r w:rsidR="00BD42D6" w:rsidRPr="00D8481B">
              <w:rPr>
                <w:rFonts w:ascii="Trebuchet MS" w:hAnsi="Trebuchet MS"/>
                <w:sz w:val="20"/>
                <w:szCs w:val="20"/>
              </w:rPr>
              <w:t xml:space="preserve"> to conduct 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>ongoing</w:t>
            </w:r>
            <w:r w:rsidR="00A2041A">
              <w:rPr>
                <w:rFonts w:ascii="Trebuchet MS" w:hAnsi="Trebuchet MS"/>
                <w:sz w:val="20"/>
                <w:szCs w:val="20"/>
              </w:rPr>
              <w:t>, proactive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D42D6" w:rsidRPr="00D8481B">
              <w:rPr>
                <w:rFonts w:ascii="Trebuchet MS" w:hAnsi="Trebuchet MS"/>
                <w:sz w:val="20"/>
                <w:szCs w:val="20"/>
              </w:rPr>
              <w:t>lead-paint clearance examinations after</w:t>
            </w:r>
            <w:r w:rsidR="00FB0EC7" w:rsidRPr="00D8481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an </w:t>
            </w:r>
            <w:r w:rsidR="00FB0EC7" w:rsidRPr="00D8481B">
              <w:rPr>
                <w:rFonts w:ascii="Trebuchet MS" w:hAnsi="Trebuchet MS"/>
                <w:sz w:val="20"/>
                <w:szCs w:val="20"/>
              </w:rPr>
              <w:t>initial clearance report is provided when</w:t>
            </w:r>
            <w:r w:rsidR="00BE2B20" w:rsidRPr="00D8481B">
              <w:rPr>
                <w:rFonts w:ascii="Trebuchet MS" w:hAnsi="Trebuchet MS"/>
                <w:sz w:val="20"/>
                <w:szCs w:val="20"/>
              </w:rPr>
              <w:t xml:space="preserve"> a</w:t>
            </w:r>
            <w:r w:rsidR="00FB0EC7" w:rsidRPr="00D8481B">
              <w:rPr>
                <w:rFonts w:ascii="Trebuchet MS" w:hAnsi="Trebuchet MS"/>
                <w:sz w:val="20"/>
                <w:szCs w:val="20"/>
              </w:rPr>
              <w:t xml:space="preserve"> pregnant woman or child under 6 first moves into </w:t>
            </w:r>
            <w:r w:rsidR="00BE2B20" w:rsidRPr="00D8481B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FB0EC7" w:rsidRPr="00D8481B">
              <w:rPr>
                <w:rFonts w:ascii="Trebuchet MS" w:hAnsi="Trebuchet MS"/>
                <w:sz w:val="20"/>
                <w:szCs w:val="20"/>
              </w:rPr>
              <w:t>unit.</w:t>
            </w:r>
          </w:p>
        </w:tc>
        <w:tc>
          <w:tcPr>
            <w:tcW w:w="55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CDA54D7" w14:textId="0D6B4460" w:rsidR="00956EEA" w:rsidRPr="00D8481B" w:rsidRDefault="004D2574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bookmarkStart w:id="13" w:name="_Hlk16678762"/>
            <w:r>
              <w:rPr>
                <w:rFonts w:ascii="Trebuchet MS" w:hAnsi="Trebuchet MS"/>
                <w:sz w:val="20"/>
                <w:szCs w:val="20"/>
              </w:rPr>
              <w:t>Requires the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 landlord </w:t>
            </w:r>
            <w:r>
              <w:rPr>
                <w:rFonts w:ascii="Trebuchet MS" w:hAnsi="Trebuchet MS"/>
                <w:sz w:val="20"/>
                <w:szCs w:val="20"/>
              </w:rPr>
              <w:t>to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 provide a clearance report issued within the previous 12 months (1) each time a landlord seeks to obtain or renew its business license or (2) when a tenant complains about a lead-based paint hazard.  In either case, </w:t>
            </w:r>
            <w:r w:rsidR="00797701">
              <w:rPr>
                <w:rFonts w:ascii="Trebuchet MS" w:hAnsi="Trebuchet MS"/>
                <w:sz w:val="20"/>
                <w:szCs w:val="20"/>
              </w:rPr>
              <w:t>if the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 landlord </w:t>
            </w:r>
            <w:r w:rsidR="00797701">
              <w:rPr>
                <w:rFonts w:ascii="Trebuchet MS" w:hAnsi="Trebuchet MS"/>
                <w:sz w:val="20"/>
                <w:szCs w:val="20"/>
              </w:rPr>
              <w:t xml:space="preserve">cannot provide the clearance report, 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DOEE </w:t>
            </w:r>
            <w:r w:rsidR="00797701">
              <w:rPr>
                <w:rFonts w:ascii="Trebuchet MS" w:hAnsi="Trebuchet MS"/>
                <w:sz w:val="20"/>
                <w:szCs w:val="20"/>
              </w:rPr>
              <w:t xml:space="preserve">must </w:t>
            </w:r>
            <w:r w:rsidR="00B70FD5" w:rsidRPr="00D8481B">
              <w:rPr>
                <w:rFonts w:ascii="Trebuchet MS" w:hAnsi="Trebuchet MS"/>
                <w:sz w:val="20"/>
                <w:szCs w:val="20"/>
              </w:rPr>
              <w:t xml:space="preserve">provide the clearance examination and report.  </w:t>
            </w:r>
            <w:bookmarkStart w:id="14" w:name="_Hlk16679510"/>
            <w:r w:rsidR="00B70FD5" w:rsidRPr="00D8481B">
              <w:rPr>
                <w:rFonts w:ascii="Trebuchet MS" w:hAnsi="Trebuchet MS"/>
                <w:sz w:val="20"/>
                <w:szCs w:val="20"/>
              </w:rPr>
              <w:t>A clearance report is not required when the unit has previously been found to be lead-free.  The clearance report may also not be required when renewing a business license if, within the prior 6 years, the landlord has provided a least 4 clearance reports at least 12 months apart for the unit.</w:t>
            </w:r>
            <w:bookmarkEnd w:id="13"/>
            <w:bookmarkEnd w:id="14"/>
          </w:p>
        </w:tc>
      </w:tr>
      <w:tr w:rsidR="006E4A37" w14:paraId="725CF05D" w14:textId="77777777" w:rsidTr="00F91A6B">
        <w:tc>
          <w:tcPr>
            <w:tcW w:w="50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C4190B6" w14:textId="28745916" w:rsidR="006E4A37" w:rsidRPr="00D8481B" w:rsidRDefault="00B24B93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DOEE In</w:t>
            </w:r>
            <w:r w:rsidR="006E5DD4"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spections</w:t>
            </w:r>
            <w:r w:rsidRPr="00D8481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.  </w:t>
            </w:r>
            <w:r w:rsidR="0038319B" w:rsidRPr="00D8481B">
              <w:rPr>
                <w:rFonts w:ascii="Trebuchet MS" w:hAnsi="Trebuchet MS"/>
                <w:sz w:val="20"/>
                <w:szCs w:val="20"/>
              </w:rPr>
              <w:t xml:space="preserve">DOEE </w:t>
            </w:r>
            <w:r w:rsidR="00131C4D" w:rsidRPr="00D8481B">
              <w:rPr>
                <w:rFonts w:ascii="Trebuchet MS" w:hAnsi="Trebuchet MS"/>
                <w:sz w:val="20"/>
                <w:szCs w:val="20"/>
              </w:rPr>
              <w:t xml:space="preserve">may </w:t>
            </w:r>
            <w:r w:rsidR="00AC3AA5" w:rsidRPr="00D8481B">
              <w:rPr>
                <w:rFonts w:ascii="Trebuchet MS" w:hAnsi="Trebuchet MS"/>
                <w:sz w:val="20"/>
                <w:szCs w:val="20"/>
              </w:rPr>
              <w:t>in</w:t>
            </w:r>
            <w:r w:rsidR="006E5DD4" w:rsidRPr="00D8481B">
              <w:rPr>
                <w:rFonts w:ascii="Trebuchet MS" w:hAnsi="Trebuchet MS"/>
                <w:sz w:val="20"/>
                <w:szCs w:val="20"/>
              </w:rPr>
              <w:t>spect a unit</w:t>
            </w:r>
            <w:r w:rsidR="0038319B" w:rsidRPr="00D8481B">
              <w:rPr>
                <w:rFonts w:ascii="Trebuchet MS" w:hAnsi="Trebuchet MS"/>
                <w:sz w:val="20"/>
                <w:szCs w:val="20"/>
              </w:rPr>
              <w:t xml:space="preserve"> when (1) a child living in </w:t>
            </w:r>
            <w:r w:rsidR="00A2041A">
              <w:rPr>
                <w:rFonts w:ascii="Trebuchet MS" w:hAnsi="Trebuchet MS"/>
                <w:sz w:val="20"/>
                <w:szCs w:val="20"/>
              </w:rPr>
              <w:t xml:space="preserve">(or regularly visiting) </w:t>
            </w:r>
            <w:r w:rsidR="0038319B" w:rsidRPr="00D8481B">
              <w:rPr>
                <w:rFonts w:ascii="Trebuchet MS" w:hAnsi="Trebuchet MS"/>
                <w:sz w:val="20"/>
                <w:szCs w:val="20"/>
              </w:rPr>
              <w:t>the unit has an elevated blood lead level or (2) a tenant complain</w:t>
            </w:r>
            <w:r w:rsidR="00AC3AA5" w:rsidRPr="00D8481B">
              <w:rPr>
                <w:rFonts w:ascii="Trebuchet MS" w:hAnsi="Trebuchet MS"/>
                <w:sz w:val="20"/>
                <w:szCs w:val="20"/>
              </w:rPr>
              <w:t>s</w:t>
            </w:r>
            <w:r w:rsidR="0038319B" w:rsidRPr="00D8481B">
              <w:rPr>
                <w:rFonts w:ascii="Trebuchet MS" w:hAnsi="Trebuchet MS"/>
                <w:sz w:val="20"/>
                <w:szCs w:val="20"/>
              </w:rPr>
              <w:t xml:space="preserve"> about lead-based paint hazard</w:t>
            </w:r>
            <w:r w:rsidR="00AC3AA5" w:rsidRPr="00D8481B">
              <w:rPr>
                <w:rFonts w:ascii="Trebuchet MS" w:hAnsi="Trebuchet MS"/>
                <w:sz w:val="20"/>
                <w:szCs w:val="20"/>
              </w:rPr>
              <w:t>s</w:t>
            </w:r>
            <w:r w:rsidR="0038319B" w:rsidRPr="00D8481B">
              <w:rPr>
                <w:rFonts w:ascii="Trebuchet MS" w:hAnsi="Trebuchet MS"/>
                <w:sz w:val="20"/>
                <w:szCs w:val="20"/>
              </w:rPr>
              <w:t>.</w:t>
            </w:r>
            <w:r w:rsidR="00F37E3B" w:rsidRPr="00D8481B">
              <w:rPr>
                <w:rFonts w:ascii="Trebuchet MS" w:hAnsi="Trebuchet MS"/>
                <w:sz w:val="20"/>
                <w:szCs w:val="20"/>
              </w:rPr>
              <w:t xml:space="preserve">  DOEE finds may order the landlord to abate </w:t>
            </w:r>
            <w:r w:rsidR="00057DD6" w:rsidRPr="00D8481B">
              <w:rPr>
                <w:rFonts w:ascii="Trebuchet MS" w:hAnsi="Trebuchet MS"/>
                <w:sz w:val="20"/>
                <w:szCs w:val="20"/>
              </w:rPr>
              <w:t>any</w:t>
            </w:r>
            <w:r w:rsidR="00F37E3B" w:rsidRPr="00D8481B">
              <w:rPr>
                <w:rFonts w:ascii="Trebuchet MS" w:hAnsi="Trebuchet MS"/>
                <w:sz w:val="20"/>
                <w:szCs w:val="20"/>
              </w:rPr>
              <w:t xml:space="preserve"> hazards and </w:t>
            </w:r>
            <w:r w:rsidR="00131C4D" w:rsidRPr="00D8481B">
              <w:rPr>
                <w:rFonts w:ascii="Trebuchet MS" w:hAnsi="Trebuchet MS"/>
                <w:sz w:val="20"/>
                <w:szCs w:val="20"/>
              </w:rPr>
              <w:t xml:space="preserve">temporarily </w:t>
            </w:r>
            <w:r w:rsidR="00F37E3B" w:rsidRPr="00D8481B">
              <w:rPr>
                <w:rFonts w:ascii="Trebuchet MS" w:hAnsi="Trebuchet MS"/>
                <w:sz w:val="20"/>
                <w:szCs w:val="20"/>
              </w:rPr>
              <w:t>relocate the family at the landlord’s expense.</w:t>
            </w:r>
          </w:p>
        </w:tc>
        <w:tc>
          <w:tcPr>
            <w:tcW w:w="55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5963F8" w14:textId="78F0DB51" w:rsidR="006E4A37" w:rsidRPr="00D8481B" w:rsidRDefault="00CF4E39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sz w:val="20"/>
                <w:szCs w:val="20"/>
              </w:rPr>
              <w:t>Provides additional protections for tenants when they need to be temporarily located, including per diem food and travel expenses in certain circumstances.</w:t>
            </w:r>
          </w:p>
        </w:tc>
      </w:tr>
      <w:tr w:rsidR="006E4A37" w14:paraId="6C008D9F" w14:textId="77777777" w:rsidTr="00F91A6B">
        <w:tc>
          <w:tcPr>
            <w:tcW w:w="50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7E26BA" w14:textId="76658C70" w:rsidR="006E4A37" w:rsidRPr="00D8481B" w:rsidRDefault="00CF4E39" w:rsidP="006E4A37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D8481B">
              <w:rPr>
                <w:rFonts w:ascii="Trebuchet MS" w:hAnsi="Trebuchet MS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Enforcement</w:t>
            </w:r>
            <w:r w:rsidRPr="00D8481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.  </w:t>
            </w:r>
            <w:r w:rsidR="0042130A" w:rsidRPr="00D8481B">
              <w:rPr>
                <w:rFonts w:ascii="Trebuchet MS" w:hAnsi="Trebuchet MS"/>
                <w:sz w:val="20"/>
                <w:szCs w:val="20"/>
              </w:rPr>
              <w:t>The Mayor may impose fines and penalties for non-compliance with the lead laws.  The Attorney General may bring a civil action against landlords for non-compliance.  Willful non-compliance is subject to criminal penalties.</w:t>
            </w:r>
          </w:p>
        </w:tc>
        <w:tc>
          <w:tcPr>
            <w:tcW w:w="55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CB9CD17" w14:textId="77777777" w:rsidR="00527684" w:rsidRPr="00527684" w:rsidRDefault="002A3ED5" w:rsidP="00527684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527684">
              <w:rPr>
                <w:rFonts w:ascii="Trebuchet MS" w:hAnsi="Trebuchet MS"/>
                <w:sz w:val="20"/>
                <w:szCs w:val="20"/>
              </w:rPr>
              <w:t>Creates additional mechanisms to</w:t>
            </w:r>
            <w:r w:rsidR="0042130A" w:rsidRPr="00527684">
              <w:rPr>
                <w:rFonts w:ascii="Trebuchet MS" w:hAnsi="Trebuchet MS"/>
                <w:sz w:val="20"/>
                <w:szCs w:val="20"/>
              </w:rPr>
              <w:t xml:space="preserve"> ensure compliance</w:t>
            </w:r>
            <w:r w:rsidRPr="00527684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6A93037A" w14:textId="16EFD8D3" w:rsidR="002A3ED5" w:rsidRPr="00527684" w:rsidRDefault="00131C4D" w:rsidP="00527684">
            <w:pPr>
              <w:pStyle w:val="ListParagraph"/>
              <w:numPr>
                <w:ilvl w:val="0"/>
                <w:numId w:val="1"/>
              </w:numPr>
              <w:spacing w:before="120"/>
              <w:ind w:left="425"/>
              <w:rPr>
                <w:rFonts w:ascii="Trebuchet MS" w:hAnsi="Trebuchet MS"/>
                <w:sz w:val="20"/>
                <w:szCs w:val="20"/>
              </w:rPr>
            </w:pPr>
            <w:r w:rsidRPr="00527684">
              <w:rPr>
                <w:rFonts w:ascii="Trebuchet MS" w:hAnsi="Trebuchet MS"/>
                <w:sz w:val="20"/>
                <w:szCs w:val="20"/>
              </w:rPr>
              <w:t>T</w:t>
            </w:r>
            <w:r w:rsidR="0042130A" w:rsidRPr="00527684">
              <w:rPr>
                <w:rFonts w:ascii="Trebuchet MS" w:hAnsi="Trebuchet MS"/>
                <w:sz w:val="20"/>
                <w:szCs w:val="20"/>
              </w:rPr>
              <w:t xml:space="preserve">he D.C. government </w:t>
            </w:r>
            <w:r w:rsidR="002A3ED5" w:rsidRPr="00527684">
              <w:rPr>
                <w:rFonts w:ascii="Trebuchet MS" w:hAnsi="Trebuchet MS"/>
                <w:sz w:val="20"/>
                <w:szCs w:val="20"/>
              </w:rPr>
              <w:t>must</w:t>
            </w:r>
            <w:r w:rsidR="0042130A" w:rsidRPr="00527684">
              <w:rPr>
                <w:rFonts w:ascii="Trebuchet MS" w:hAnsi="Trebuchet MS"/>
                <w:sz w:val="20"/>
                <w:szCs w:val="20"/>
              </w:rPr>
              <w:t xml:space="preserve"> deny business licenses to landlords who violate lead laws</w:t>
            </w:r>
            <w:r w:rsidR="002A3ED5" w:rsidRPr="00527684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7D69D367" w14:textId="087EA14E" w:rsidR="006E4A37" w:rsidRPr="00527684" w:rsidRDefault="002A3ED5" w:rsidP="00527684">
            <w:pPr>
              <w:pStyle w:val="ListParagraph"/>
              <w:numPr>
                <w:ilvl w:val="0"/>
                <w:numId w:val="1"/>
              </w:numPr>
              <w:ind w:left="425"/>
              <w:rPr>
                <w:rFonts w:ascii="Trebuchet MS" w:hAnsi="Trebuchet MS"/>
                <w:sz w:val="20"/>
                <w:szCs w:val="20"/>
              </w:rPr>
            </w:pPr>
            <w:r w:rsidRPr="00527684">
              <w:rPr>
                <w:rFonts w:ascii="Trebuchet MS" w:hAnsi="Trebuchet MS"/>
                <w:sz w:val="20"/>
                <w:szCs w:val="20"/>
              </w:rPr>
              <w:t xml:space="preserve">Tenants can take their landlord to court to force compliance and recover damages and attorneys’ fees; </w:t>
            </w:r>
          </w:p>
          <w:p w14:paraId="39A78AC2" w14:textId="0EAB618C" w:rsidR="002A3ED5" w:rsidRPr="00527684" w:rsidRDefault="002A3ED5" w:rsidP="00527684">
            <w:pPr>
              <w:pStyle w:val="ListParagraph"/>
              <w:numPr>
                <w:ilvl w:val="0"/>
                <w:numId w:val="1"/>
              </w:numPr>
              <w:ind w:left="425"/>
              <w:rPr>
                <w:rFonts w:ascii="Trebuchet MS" w:hAnsi="Trebuchet MS"/>
                <w:sz w:val="20"/>
                <w:szCs w:val="20"/>
              </w:rPr>
            </w:pPr>
            <w:r w:rsidRPr="00527684">
              <w:rPr>
                <w:rFonts w:ascii="Trebuchet MS" w:hAnsi="Trebuchet MS"/>
                <w:sz w:val="20"/>
                <w:szCs w:val="20"/>
              </w:rPr>
              <w:t>Tenants are entitled to 2 months’ rent abatement if they are victims of landlord retaliation</w:t>
            </w:r>
            <w:r w:rsidR="00A305A9" w:rsidRPr="00527684">
              <w:rPr>
                <w:rFonts w:ascii="Trebuchet MS" w:hAnsi="Trebuchet MS"/>
                <w:sz w:val="20"/>
                <w:szCs w:val="20"/>
              </w:rPr>
              <w:t>; and</w:t>
            </w:r>
          </w:p>
          <w:p w14:paraId="6CA0B304" w14:textId="076575AF" w:rsidR="00A305A9" w:rsidRPr="00527684" w:rsidRDefault="00766ED9" w:rsidP="00527684">
            <w:pPr>
              <w:pStyle w:val="ListParagraph"/>
              <w:numPr>
                <w:ilvl w:val="0"/>
                <w:numId w:val="1"/>
              </w:numPr>
              <w:spacing w:after="120"/>
              <w:ind w:left="425"/>
              <w:rPr>
                <w:rFonts w:ascii="Trebuchet MS" w:hAnsi="Trebuchet MS"/>
                <w:sz w:val="20"/>
                <w:szCs w:val="20"/>
              </w:rPr>
            </w:pPr>
            <w:r w:rsidRPr="00527684">
              <w:rPr>
                <w:rFonts w:ascii="Trebuchet MS" w:hAnsi="Trebuchet MS"/>
                <w:sz w:val="20"/>
                <w:szCs w:val="20"/>
              </w:rPr>
              <w:t>A</w:t>
            </w:r>
            <w:r w:rsidR="00A305A9" w:rsidRPr="00527684">
              <w:rPr>
                <w:rFonts w:ascii="Trebuchet MS" w:hAnsi="Trebuchet MS"/>
                <w:sz w:val="20"/>
                <w:szCs w:val="20"/>
              </w:rPr>
              <w:t xml:space="preserve"> fund </w:t>
            </w:r>
            <w:r w:rsidRPr="00527684">
              <w:rPr>
                <w:rFonts w:ascii="Trebuchet MS" w:hAnsi="Trebuchet MS"/>
                <w:sz w:val="20"/>
                <w:szCs w:val="20"/>
              </w:rPr>
              <w:t xml:space="preserve">is established </w:t>
            </w:r>
            <w:r w:rsidR="00A305A9" w:rsidRPr="00527684">
              <w:rPr>
                <w:rFonts w:ascii="Trebuchet MS" w:hAnsi="Trebuchet MS"/>
                <w:sz w:val="20"/>
                <w:szCs w:val="20"/>
              </w:rPr>
              <w:t>to defray abatement costs for landlords who demonstrate financial hardship in certain circumstances.</w:t>
            </w:r>
          </w:p>
        </w:tc>
      </w:tr>
    </w:tbl>
    <w:p w14:paraId="32392B79" w14:textId="77777777" w:rsidR="00DB4782" w:rsidRDefault="00DB4782" w:rsidP="00DB4782">
      <w:pPr>
        <w:spacing w:after="0" w:line="240" w:lineRule="auto"/>
      </w:pPr>
    </w:p>
    <w:sectPr w:rsidR="00DB4782" w:rsidSect="0072105D">
      <w:pgSz w:w="12240" w:h="15840"/>
      <w:pgMar w:top="90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A7CE0"/>
    <w:multiLevelType w:val="hybridMultilevel"/>
    <w:tmpl w:val="59A8F7CC"/>
    <w:lvl w:ilvl="0" w:tplc="0E58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82"/>
    <w:rsid w:val="000078C1"/>
    <w:rsid w:val="00021705"/>
    <w:rsid w:val="00055574"/>
    <w:rsid w:val="00057DD6"/>
    <w:rsid w:val="00065AF8"/>
    <w:rsid w:val="00121C25"/>
    <w:rsid w:val="00131C4D"/>
    <w:rsid w:val="001B0C66"/>
    <w:rsid w:val="001D173E"/>
    <w:rsid w:val="00214610"/>
    <w:rsid w:val="002A3ED5"/>
    <w:rsid w:val="002F6C58"/>
    <w:rsid w:val="0038319B"/>
    <w:rsid w:val="00416B77"/>
    <w:rsid w:val="0042130A"/>
    <w:rsid w:val="0046134F"/>
    <w:rsid w:val="004D2574"/>
    <w:rsid w:val="005042FA"/>
    <w:rsid w:val="00527684"/>
    <w:rsid w:val="005561CA"/>
    <w:rsid w:val="005651FC"/>
    <w:rsid w:val="0059302D"/>
    <w:rsid w:val="00665515"/>
    <w:rsid w:val="006E1510"/>
    <w:rsid w:val="006E4A37"/>
    <w:rsid w:val="006E5DD4"/>
    <w:rsid w:val="0072105D"/>
    <w:rsid w:val="007532DB"/>
    <w:rsid w:val="00766ED9"/>
    <w:rsid w:val="00781C36"/>
    <w:rsid w:val="00797701"/>
    <w:rsid w:val="007E7088"/>
    <w:rsid w:val="0083274C"/>
    <w:rsid w:val="0093725F"/>
    <w:rsid w:val="00956EEA"/>
    <w:rsid w:val="00970DAB"/>
    <w:rsid w:val="00980A07"/>
    <w:rsid w:val="00A2041A"/>
    <w:rsid w:val="00A228FC"/>
    <w:rsid w:val="00A305A9"/>
    <w:rsid w:val="00AC3AA5"/>
    <w:rsid w:val="00B137E4"/>
    <w:rsid w:val="00B24B93"/>
    <w:rsid w:val="00B70FD5"/>
    <w:rsid w:val="00B927E8"/>
    <w:rsid w:val="00BD42D6"/>
    <w:rsid w:val="00BE2B20"/>
    <w:rsid w:val="00BF3591"/>
    <w:rsid w:val="00BF621F"/>
    <w:rsid w:val="00C05C40"/>
    <w:rsid w:val="00CA1941"/>
    <w:rsid w:val="00CF4E39"/>
    <w:rsid w:val="00CF65B4"/>
    <w:rsid w:val="00D8481B"/>
    <w:rsid w:val="00DB4782"/>
    <w:rsid w:val="00F207D8"/>
    <w:rsid w:val="00F37E3B"/>
    <w:rsid w:val="00F6557C"/>
    <w:rsid w:val="00F91A6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6A64"/>
  <w15:chartTrackingRefBased/>
  <w15:docId w15:val="{01C7CBBF-4FC2-498A-B30B-FBF72A8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05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105D"/>
    <w:rPr>
      <w:rFonts w:asciiTheme="majorHAnsi" w:eastAsiaTheme="majorEastAsia" w:hAnsiTheme="majorHAnsi" w:cstheme="majorBidi"/>
      <w:bCs/>
      <w:color w:val="4472C4" w:themeColor="accen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Logan</dc:creator>
  <cp:keywords/>
  <dc:description/>
  <cp:lastModifiedBy>Buck Logan</cp:lastModifiedBy>
  <cp:revision>3</cp:revision>
  <cp:lastPrinted>2019-07-31T20:54:00Z</cp:lastPrinted>
  <dcterms:created xsi:type="dcterms:W3CDTF">2019-10-28T12:33:00Z</dcterms:created>
  <dcterms:modified xsi:type="dcterms:W3CDTF">2019-10-28T12:33:00Z</dcterms:modified>
</cp:coreProperties>
</file>